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E8D4" w14:textId="01B6BED8" w:rsidR="00D87CE7" w:rsidRDefault="00D87CE7" w:rsidP="00D87CE7">
      <w:pPr>
        <w:jc w:val="center"/>
        <w:rPr>
          <w:rFonts w:cs="Times New Roman"/>
          <w:b/>
          <w:bCs/>
          <w:u w:val="single"/>
        </w:rPr>
      </w:pPr>
      <w:r w:rsidRPr="00D87CE7">
        <w:rPr>
          <w:rFonts w:cs="Times New Roman"/>
          <w:b/>
          <w:bCs/>
          <w:u w:val="single"/>
        </w:rPr>
        <w:t>CONCEPT ANNO ACCADEMICO 2021/2022</w:t>
      </w:r>
    </w:p>
    <w:p w14:paraId="0C6F5C05" w14:textId="77777777" w:rsidR="00D87CE7" w:rsidRDefault="00D87CE7" w:rsidP="00D87CE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180F079F" w14:textId="315E5F00" w:rsidR="00D87CE7" w:rsidRDefault="00D87CE7" w:rsidP="00D87CE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0" w:name="_GoBack"/>
      <w:r>
        <w:rPr>
          <w:rFonts w:cs="Times New Roman"/>
          <w:b/>
          <w:bCs/>
        </w:rPr>
        <w:t xml:space="preserve">“GNÓTHI SEAUTÓN: </w:t>
      </w:r>
      <w:r>
        <w:rPr>
          <w:rFonts w:cs="Times New Roman"/>
          <w:b/>
          <w:bCs/>
          <w:i/>
          <w:iCs/>
        </w:rPr>
        <w:t>INDOVINA</w:t>
      </w:r>
      <w:r>
        <w:rPr>
          <w:rFonts w:cs="Times New Roman"/>
          <w:b/>
          <w:bCs/>
        </w:rPr>
        <w:t xml:space="preserve"> TE STESSO”</w:t>
      </w:r>
    </w:p>
    <w:bookmarkEnd w:id="0"/>
    <w:p w14:paraId="13A42EDD" w14:textId="77777777" w:rsidR="00D87CE7" w:rsidRDefault="00D87CE7" w:rsidP="00D87CE7">
      <w:pPr>
        <w:jc w:val="both"/>
        <w:rPr>
          <w:rFonts w:cs="Times New Roman"/>
        </w:rPr>
      </w:pPr>
    </w:p>
    <w:p w14:paraId="1CA68E6F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  <w:i/>
          <w:iCs/>
        </w:rPr>
        <w:t>Scusi il gioco di parole: IO è un altro</w:t>
      </w:r>
      <w:r>
        <w:rPr>
          <w:rFonts w:cs="Times New Roman"/>
        </w:rPr>
        <w:t xml:space="preserve"> chiosava il poeta Arthur Rimbaud al professor </w:t>
      </w:r>
      <w:proofErr w:type="spellStart"/>
      <w:r>
        <w:rPr>
          <w:rFonts w:cs="Times New Roman"/>
        </w:rPr>
        <w:t>Izambard</w:t>
      </w:r>
      <w:proofErr w:type="spellEnd"/>
      <w:r>
        <w:rPr>
          <w:rFonts w:cs="Times New Roman"/>
        </w:rPr>
        <w:t xml:space="preserve"> dichiarando la sua volontà di essere poeta o, più precisamente, “veggente” – autodefinendo con quest’ultimo termine il tentativo di conoscere sé stesso mediante l’esplorazione dei sensi. E l’Oracolo di Delfi profetava “conosci te stesso”, con un imperativo che oggi potrebbe suonare quasi come una minaccia, più che come invito. E la Sfinge sfidava gli esseri umani con il suo famoso enigma che ha portato una fetta grande di umanità ad interrogarsi su sé stessa. E mentre Edipo cercava la risposta (sé stesso), non si rendeva conto che con la sua ricerca compiva l’oracolo e la sua predizione. E Cassandra non voleva stare zitta. E Tiresia diceva di fermare la ricerca. E un piccione viaggiatore, parecchi secoli dopo, ci annunciava un nuovo futuro, una nuova terra da scoprire (dentro e fuori di noi?). E poi c’erano le divinità, le streghe, le Ombre, le Pizie, e tutti gli altri modi con cui l’umanità ha dato forma al suo rapporto col futuro e alla sua continua ricerca di capire “chi sono </w:t>
      </w:r>
      <w:r>
        <w:rPr>
          <w:rFonts w:cs="Times New Roman"/>
          <w:i/>
          <w:iCs/>
        </w:rPr>
        <w:t>realmente</w:t>
      </w:r>
      <w:r>
        <w:rPr>
          <w:rFonts w:cs="Times New Roman"/>
        </w:rPr>
        <w:t xml:space="preserve">”? </w:t>
      </w:r>
    </w:p>
    <w:p w14:paraId="3CB2EA01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</w:rPr>
        <w:t xml:space="preserve">E dopo parecchi secoli gli esseri umani continuano a cercare, digitando delle domande su Google che non hanno il tempo di completare, perché il famoso motore di ricerca si diverte ad oracolare, a predire cosa vogliamo scrivere, cosa vogliamo domandare, cosa vogliamo trovare, cosa vogliamo diventare; l’interfaccia più famosa al mondo gioca a fare la sacerdotessa dei nuovi dei di Mountain View, si diverte con i nostri destini, con il nostro futuro, interpretando il ruolo della “veggente” che però ha nulla a che fare col poeta. E mentre gli esseri umani del </w:t>
      </w:r>
      <w:r>
        <w:rPr>
          <w:rFonts w:cs="Times New Roman"/>
          <w:i/>
          <w:iCs/>
        </w:rPr>
        <w:t>digito ergo sum</w:t>
      </w:r>
      <w:r>
        <w:rPr>
          <w:rFonts w:cs="Times New Roman"/>
        </w:rPr>
        <w:t xml:space="preserve"> navigano su un mare più grande del mediterraneo e dell’Oceano, sul web migliaia di altri pseudo Tiresia virtuali felici suggeriscono altre cose da fare, da pensare, da comprare; e sono promessi ricchi doni in premio a chi segue i loro consigli (per gli acquisti); e così si finisce a </w:t>
      </w:r>
      <w:r>
        <w:rPr>
          <w:rFonts w:cs="Times New Roman"/>
          <w:i/>
          <w:iCs/>
        </w:rPr>
        <w:t>credere</w:t>
      </w:r>
      <w:r>
        <w:rPr>
          <w:rFonts w:cs="Times New Roman"/>
        </w:rPr>
        <w:t xml:space="preserve"> di avere bisogno davvero del loro prodotto, del loro successo, di loro; e non capiamo più se siamo noi ad aver scelto qualcosa che ci è stato suggerito o se la predizione è arrivata perché ha capito prima di noi cosa stavamo cercando, oppure è stata quella predizione a convincerci di avere bisogno di cose di cui (non) eravamo in cerca; e così la nostra ricerca alla scoperta di noi stessi finisce in una sponsorizzata su una pagina di un social, o in una pausa pubblicitaria alla televisione o, per gli eletti, in una serie distopica che va da Netflix fino al Cielo.</w:t>
      </w:r>
    </w:p>
    <w:p w14:paraId="36C7EC40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  <w:i/>
          <w:iCs/>
        </w:rPr>
        <w:t>Lei non ci capirà niente, ed io quasi non saprei spiegarle</w:t>
      </w:r>
      <w:r>
        <w:rPr>
          <w:rFonts w:cs="Times New Roman"/>
        </w:rPr>
        <w:t xml:space="preserve"> continuala lettera del sedicenne Arthur al suo prof. con la quale abbiamo iniziato. E continua la confusione tra cosa è reale e cosa non lo è. E questa confusione diventa generazione di una forma letteraria e teatrale, in cui autobiografia e </w:t>
      </w:r>
      <w:proofErr w:type="spellStart"/>
      <w:r>
        <w:rPr>
          <w:rFonts w:cs="Times New Roman"/>
        </w:rPr>
        <w:t>autofinzione</w:t>
      </w:r>
      <w:proofErr w:type="spellEnd"/>
      <w:r>
        <w:rPr>
          <w:rFonts w:cs="Times New Roman"/>
        </w:rPr>
        <w:t xml:space="preserve"> possono essere sinonimi, ossimori o paradossi contemporaneamente. E mentre Montaigne prologherà nel ‘500 </w:t>
      </w:r>
      <w:r>
        <w:rPr>
          <w:rFonts w:cs="Times New Roman"/>
          <w:i/>
          <w:iCs/>
        </w:rPr>
        <w:t>sono io stesso la materia del mio libro</w:t>
      </w:r>
      <w:r>
        <w:rPr>
          <w:rFonts w:cs="Times New Roman"/>
        </w:rPr>
        <w:t xml:space="preserve">; Rousseau vaticinerà nel ‘700 di offrire </w:t>
      </w:r>
      <w:r>
        <w:rPr>
          <w:rFonts w:cs="Times New Roman"/>
          <w:i/>
          <w:iCs/>
        </w:rPr>
        <w:t>gli spettatori in spettacolo; rendeteli attori essi stessi; fate in modo che ciascuno si riconosca e si ami negli altri, affinché tutti ne siano meglio uniti</w:t>
      </w:r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Doubrovsky</w:t>
      </w:r>
      <w:proofErr w:type="spellEnd"/>
      <w:r>
        <w:rPr>
          <w:rFonts w:cs="Times New Roman"/>
        </w:rPr>
        <w:t xml:space="preserve"> sul far della sera del ‘900 darà il nome di “</w:t>
      </w:r>
      <w:proofErr w:type="spellStart"/>
      <w:r>
        <w:rPr>
          <w:rFonts w:cs="Times New Roman"/>
        </w:rPr>
        <w:t>autofinzioni</w:t>
      </w:r>
      <w:proofErr w:type="spellEnd"/>
      <w:r>
        <w:rPr>
          <w:rFonts w:cs="Times New Roman"/>
        </w:rPr>
        <w:t>” (</w:t>
      </w:r>
      <w:r>
        <w:rPr>
          <w:rFonts w:cs="Times New Roman"/>
          <w:i/>
          <w:iCs/>
        </w:rPr>
        <w:t>finzioni di fatti e avvenimenti strettamente reali</w:t>
      </w:r>
      <w:r>
        <w:rPr>
          <w:rFonts w:cs="Times New Roman"/>
        </w:rPr>
        <w:t xml:space="preserve">) a ciò che accadeva già, da parecchi secoli, nella letteratura. Ed infine </w:t>
      </w:r>
      <w:proofErr w:type="spellStart"/>
      <w:r>
        <w:rPr>
          <w:rFonts w:cs="Times New Roman"/>
        </w:rPr>
        <w:t>Soledad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Frugone</w:t>
      </w:r>
      <w:proofErr w:type="spellEnd"/>
      <w:r>
        <w:rPr>
          <w:rFonts w:cs="Times New Roman"/>
        </w:rPr>
        <w:t xml:space="preserve">, persona travestita da personaggio, l’altra sera, su di un palcoscenico del gran teatro del mondo, ha stipulato il suo patto di menzogna con gli spettatori: </w:t>
      </w:r>
    </w:p>
    <w:p w14:paraId="2EBF1C75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Sergio è un drammaturgo che vive a Parigi e da diversi anni scrive delle opere come questa, cioè delle </w:t>
      </w:r>
      <w:proofErr w:type="spellStart"/>
      <w:r>
        <w:rPr>
          <w:rFonts w:cs="Times New Roman"/>
          <w:i/>
          <w:iCs/>
        </w:rPr>
        <w:t>autofinzioni</w:t>
      </w:r>
      <w:proofErr w:type="spellEnd"/>
      <w:r>
        <w:rPr>
          <w:rFonts w:cs="Times New Roman"/>
          <w:i/>
          <w:iCs/>
        </w:rPr>
        <w:t>. Lui le definisce come l’incrocio tra delle narrazioni reali e delle narrazioni di fantasia. Più specificatamente Sergio dice che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l’</w:t>
      </w:r>
      <w:proofErr w:type="spellStart"/>
      <w:r>
        <w:rPr>
          <w:rFonts w:cs="Times New Roman"/>
          <w:i/>
          <w:iCs/>
        </w:rPr>
        <w:t>autofinzione</w:t>
      </w:r>
      <w:proofErr w:type="spellEnd"/>
      <w:r>
        <w:rPr>
          <w:rFonts w:cs="Times New Roman"/>
          <w:i/>
          <w:iCs/>
        </w:rPr>
        <w:t xml:space="preserve"> rappresenta il lato oscuro dell’autobiografia e, come l’autobiografia si basa su un patto di verità, così nell’</w:t>
      </w:r>
      <w:proofErr w:type="spellStart"/>
      <w:r>
        <w:rPr>
          <w:rFonts w:cs="Times New Roman"/>
          <w:i/>
          <w:iCs/>
        </w:rPr>
        <w:t>autofinzione</w:t>
      </w:r>
      <w:proofErr w:type="spellEnd"/>
      <w:r>
        <w:rPr>
          <w:rFonts w:cs="Times New Roman"/>
          <w:i/>
          <w:iCs/>
        </w:rPr>
        <w:t xml:space="preserve"> vige un patto di menzogna</w:t>
      </w:r>
      <w:r>
        <w:rPr>
          <w:rFonts w:cs="Times New Roman"/>
        </w:rPr>
        <w:t xml:space="preserve"> e Sergio dirà da un’altra parte che </w:t>
      </w:r>
      <w:r>
        <w:rPr>
          <w:rFonts w:cs="Times New Roman"/>
          <w:i/>
          <w:iCs/>
        </w:rPr>
        <w:t>non scrivo di me perché mi voglio bene, ma perché gli altri mi vogliano bene</w:t>
      </w:r>
      <w:r>
        <w:rPr>
          <w:rFonts w:cs="Times New Roman"/>
        </w:rPr>
        <w:t xml:space="preserve">.  </w:t>
      </w:r>
    </w:p>
    <w:p w14:paraId="74B379BC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</w:rPr>
        <w:t>Ed eccoci arrivati, dunque, al teatro. Il punto di partenza della nostra ricerca. Cosa promettiamo? Indoviniamo qualcosa?</w:t>
      </w:r>
    </w:p>
    <w:p w14:paraId="24521B35" w14:textId="77777777" w:rsidR="00D87CE7" w:rsidRDefault="00D87CE7" w:rsidP="00D87CE7">
      <w:pPr>
        <w:jc w:val="both"/>
        <w:rPr>
          <w:rFonts w:cs="Times New Roman"/>
        </w:rPr>
      </w:pPr>
    </w:p>
    <w:p w14:paraId="7CEA881B" w14:textId="77777777" w:rsidR="00D87CE7" w:rsidRDefault="00D87CE7" w:rsidP="00D87CE7">
      <w:pPr>
        <w:pStyle w:val="m-6832439916844848449msolistparagraph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“</w:t>
      </w:r>
      <w:r>
        <w:rPr>
          <w:rFonts w:eastAsiaTheme="minorHAnsi"/>
          <w:i/>
          <w:iCs/>
          <w:lang w:eastAsia="en-US"/>
        </w:rPr>
        <w:t>non c’è una netta distinzione tra reale e irreale; né tra vero e falso. Una cosa non è necessariamente vera o falsa, ma può essere entrambe: vera e falsa</w:t>
      </w:r>
      <w:r>
        <w:rPr>
          <w:rFonts w:eastAsiaTheme="minorHAnsi"/>
          <w:lang w:eastAsia="en-US"/>
        </w:rPr>
        <w:t>”</w:t>
      </w:r>
    </w:p>
    <w:p w14:paraId="4C747B6E" w14:textId="77777777" w:rsidR="00D87CE7" w:rsidRDefault="00D87CE7" w:rsidP="00D87CE7">
      <w:pPr>
        <w:pStyle w:val="m-6832439916844848449msolistparagraph"/>
        <w:shd w:val="clear" w:color="auto" w:fill="FFFFFF"/>
        <w:spacing w:before="0" w:beforeAutospacing="0" w:after="0" w:afterAutospacing="0"/>
        <w:jc w:val="right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>Sergio Blanco cita Harold Pinter</w:t>
      </w:r>
    </w:p>
    <w:p w14:paraId="2BAFFC1C" w14:textId="77777777" w:rsidR="00D87CE7" w:rsidRDefault="00D87CE7" w:rsidP="00D87CE7">
      <w:pPr>
        <w:jc w:val="both"/>
        <w:rPr>
          <w:rFonts w:eastAsiaTheme="minorHAnsi" w:cs="Times New Roman"/>
          <w:lang w:eastAsia="en-US"/>
        </w:rPr>
      </w:pPr>
    </w:p>
    <w:p w14:paraId="19678D26" w14:textId="77777777" w:rsidR="00D87CE7" w:rsidRDefault="00D87CE7" w:rsidP="00D87CE7">
      <w:pPr>
        <w:jc w:val="both"/>
        <w:rPr>
          <w:rFonts w:cs="Times New Roman"/>
          <w:i/>
          <w:iCs/>
          <w:u w:val="single"/>
        </w:rPr>
      </w:pPr>
      <w:r>
        <w:rPr>
          <w:rFonts w:cs="Times New Roman"/>
          <w:i/>
          <w:iCs/>
          <w:u w:val="single"/>
        </w:rPr>
        <w:t>Struttura</w:t>
      </w:r>
    </w:p>
    <w:p w14:paraId="349EAF84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</w:rPr>
        <w:t>I presupposti sopra descritti rappresentano l’orientamento di forme e contenuti della proposta didattica, per l’</w:t>
      </w:r>
      <w:proofErr w:type="spellStart"/>
      <w:r>
        <w:rPr>
          <w:rFonts w:cs="Times New Roman"/>
        </w:rPr>
        <w:t>a.a</w:t>
      </w:r>
      <w:proofErr w:type="spellEnd"/>
      <w:r>
        <w:rPr>
          <w:rFonts w:cs="Times New Roman"/>
        </w:rPr>
        <w:t xml:space="preserve">. 2021/2022, della sezione “Ferdinando Balestra”. </w:t>
      </w:r>
    </w:p>
    <w:p w14:paraId="46C02415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</w:rPr>
        <w:t>L’impianto strutturale della sezione, vissuta l’esperienza didattica a distanza, ripristina la consolidata architettura didattica dal vivo (discipline, orari, ripartizione di gruppi, struttura degli interventi) e si propone di cercare nuove forme dialettiche con il digitale, integrate nell’esperienza ordinaria (</w:t>
      </w:r>
      <w:proofErr w:type="spellStart"/>
      <w:r>
        <w:rPr>
          <w:rFonts w:cs="Times New Roman"/>
          <w:i/>
          <w:iCs/>
        </w:rPr>
        <w:t>Onlife</w:t>
      </w:r>
      <w:proofErr w:type="spellEnd"/>
      <w:r>
        <w:rPr>
          <w:rFonts w:cs="Times New Roman"/>
        </w:rPr>
        <w:t>).</w:t>
      </w:r>
    </w:p>
    <w:p w14:paraId="54351E42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</w:rPr>
        <w:t xml:space="preserve">Gli obiettivi pedagogici (corpo, voce, emozione, relazione, testo, pensiero critico, rappresentazione) rimandano a quelli dei progetti dal vivo degli ultimi anni, aggiungendo una </w:t>
      </w:r>
      <w:proofErr w:type="spellStart"/>
      <w:r>
        <w:rPr>
          <w:rFonts w:cs="Times New Roman"/>
        </w:rPr>
        <w:t>problematizzazione</w:t>
      </w:r>
      <w:proofErr w:type="spellEnd"/>
      <w:r>
        <w:rPr>
          <w:rFonts w:cs="Times New Roman"/>
        </w:rPr>
        <w:t xml:space="preserve"> del rapporto tra identità reale e identità digitale.</w:t>
      </w:r>
    </w:p>
    <w:p w14:paraId="14D6A1A5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</w:rPr>
        <w:t xml:space="preserve">I percorsi ordinari previsti sono tre: </w:t>
      </w:r>
    </w:p>
    <w:p w14:paraId="0903FE5A" w14:textId="77777777" w:rsidR="00D87CE7" w:rsidRDefault="00D87CE7" w:rsidP="00D87CE7">
      <w:pPr>
        <w:pStyle w:val="Paragrafoelenco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Indovina chi? Sfingi e indovinelli / miti e teatro</w:t>
      </w:r>
    </w:p>
    <w:p w14:paraId="79417A24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Bambine e bambini di scuola primaria, 5 / 8 anni (Enfants) e 9 / 11 anni (Junior);</w:t>
      </w:r>
    </w:p>
    <w:p w14:paraId="5FF7A0CD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 teatrali, musicali, espressivi, d’invenzione scenica della realtà.</w:t>
      </w:r>
    </w:p>
    <w:p w14:paraId="39E0BDB4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DDA6513" w14:textId="77777777" w:rsidR="00D87CE7" w:rsidRDefault="00D87CE7" w:rsidP="00D87CE7">
      <w:pPr>
        <w:pStyle w:val="Paragrafoelenco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Indovina il futuro! Oracoli e indovini: Omero o Google?</w:t>
      </w:r>
    </w:p>
    <w:p w14:paraId="3E647D11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Ragazze e ragazzi di scuola secondaria, 12 / 15 anni e 16 / 21 anni (Primavera);</w:t>
      </w:r>
    </w:p>
    <w:p w14:paraId="301ED60F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 di teatro, canto, espressione corporea, drammaturgia, di riscrittura e reinvenzione teatrale.</w:t>
      </w:r>
    </w:p>
    <w:p w14:paraId="2A06D1F8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2B1ECBC" w14:textId="77777777" w:rsidR="00D87CE7" w:rsidRDefault="00D87CE7" w:rsidP="00D87CE7">
      <w:pPr>
        <w:pStyle w:val="Paragrafoelenco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Indovina me stesso!</w:t>
      </w:r>
    </w:p>
    <w:p w14:paraId="5ED3D9BD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Percorso avanzato per allieve e allievi iscritti da più di tre anni, classe mista (Masterclass);</w:t>
      </w:r>
    </w:p>
    <w:p w14:paraId="005501A7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 di teatro, canto, espressione corporea, drammaturgia; focus sui modelli del teatro contemporaneo: l’</w:t>
      </w:r>
      <w:r>
        <w:rPr>
          <w:rFonts w:ascii="Times New Roman" w:hAnsi="Times New Roman" w:cs="Times New Roman"/>
          <w:i/>
          <w:iCs/>
          <w:sz w:val="24"/>
          <w:szCs w:val="24"/>
        </w:rPr>
        <w:t>autofiction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2D1CE9" w14:textId="77777777" w:rsidR="00D87CE7" w:rsidRDefault="00D87CE7" w:rsidP="00D87CE7">
      <w:pPr>
        <w:jc w:val="both"/>
        <w:rPr>
          <w:rFonts w:cs="Times New Roman"/>
        </w:rPr>
      </w:pPr>
    </w:p>
    <w:p w14:paraId="55BB0E28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</w:rPr>
        <w:t xml:space="preserve">Si prevedono anche due percorsi speciali: </w:t>
      </w:r>
    </w:p>
    <w:p w14:paraId="041AF1E5" w14:textId="77777777" w:rsidR="00D87CE7" w:rsidRDefault="00D87CE7" w:rsidP="00D87CE7">
      <w:pPr>
        <w:pStyle w:val="Paragrafoelenco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Edipo e la Sfinge</w:t>
      </w:r>
    </w:p>
    <w:p w14:paraId="18BE9E1C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Adulti, classe mista;</w:t>
      </w:r>
    </w:p>
    <w:p w14:paraId="63C44953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Laboratorio teatrale di training, dizione e lettura ad alta voce.</w:t>
      </w:r>
    </w:p>
    <w:p w14:paraId="7C3DD4FB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B20AD99" w14:textId="77777777" w:rsidR="00D87CE7" w:rsidRDefault="00D87CE7" w:rsidP="00D87CE7">
      <w:pPr>
        <w:pStyle w:val="Paragrafoelenco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Proagòn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FB0AFB4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Scuole, associazioni, enti di formazione e università del territorio;</w:t>
      </w:r>
    </w:p>
    <w:p w14:paraId="1851869A" w14:textId="77777777" w:rsidR="00D87CE7" w:rsidRDefault="00D87CE7" w:rsidP="00D87CE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 in presenza e digitali, approfondimenti culturali, interventi teatrali, collaborazioni specifiche.</w:t>
      </w:r>
    </w:p>
    <w:p w14:paraId="0AA57F3E" w14:textId="77777777" w:rsidR="00D87CE7" w:rsidRDefault="00D87CE7" w:rsidP="00D87CE7">
      <w:pPr>
        <w:jc w:val="both"/>
        <w:rPr>
          <w:rFonts w:cs="Times New Roman"/>
        </w:rPr>
      </w:pPr>
    </w:p>
    <w:p w14:paraId="0A0F10F8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</w:rPr>
        <w:t xml:space="preserve">Si propone di realizzare sabato 13 novembre un </w:t>
      </w:r>
      <w:r>
        <w:rPr>
          <w:rFonts w:cs="Times New Roman"/>
          <w:i/>
          <w:iCs/>
        </w:rPr>
        <w:t>Open day</w:t>
      </w:r>
      <w:r>
        <w:rPr>
          <w:rFonts w:cs="Times New Roman"/>
        </w:rPr>
        <w:t xml:space="preserve"> di presentazione del programma 2021/2022 della sezione “F. Balestra” che preveda: conferenza stampa, incontro con i docenti, laboratori pocket.</w:t>
      </w:r>
    </w:p>
    <w:p w14:paraId="7F0AAA58" w14:textId="77777777" w:rsidR="00D87CE7" w:rsidRDefault="00D87CE7" w:rsidP="00D87CE7">
      <w:pPr>
        <w:jc w:val="both"/>
        <w:rPr>
          <w:rFonts w:cs="Times New Roman"/>
        </w:rPr>
      </w:pPr>
      <w:r>
        <w:rPr>
          <w:rFonts w:cs="Times New Roman"/>
        </w:rPr>
        <w:t>Dal 22 novembre si prevede l’avvio delle attività ordinarie e per adulti.</w:t>
      </w:r>
    </w:p>
    <w:p w14:paraId="5D660FAC" w14:textId="09CF9193" w:rsidR="00B33D01" w:rsidRPr="00C40B9D" w:rsidRDefault="00D87CE7" w:rsidP="00D87CE7">
      <w:pPr>
        <w:jc w:val="both"/>
        <w:rPr>
          <w:rFonts w:cs="Times New Roman"/>
        </w:rPr>
      </w:pPr>
      <w:r>
        <w:rPr>
          <w:rFonts w:cs="Times New Roman"/>
        </w:rPr>
        <w:t>Tutti i percorsi, con l’eccezione di “</w:t>
      </w:r>
      <w:proofErr w:type="spellStart"/>
      <w:r>
        <w:rPr>
          <w:rFonts w:cs="Times New Roman"/>
        </w:rPr>
        <w:t>Proagòn</w:t>
      </w:r>
      <w:proofErr w:type="spellEnd"/>
      <w:r>
        <w:rPr>
          <w:rFonts w:cs="Times New Roman"/>
        </w:rPr>
        <w:t>” su cui si rinvia ad una riflessione più approfondita in separata sede, prevedono una quota di iscrizione e di partecipazione a carico degli allievi.</w:t>
      </w:r>
    </w:p>
    <w:p w14:paraId="1736E8D3" w14:textId="77777777" w:rsidR="00B67112" w:rsidRPr="00C40B9D" w:rsidRDefault="00B67112" w:rsidP="00B67112">
      <w:pPr>
        <w:jc w:val="both"/>
        <w:rPr>
          <w:rFonts w:cs="Times New Roman"/>
          <w:b/>
          <w:bCs/>
        </w:rPr>
      </w:pPr>
    </w:p>
    <w:p w14:paraId="308E9389" w14:textId="77777777" w:rsidR="00B67112" w:rsidRPr="00C40B9D" w:rsidRDefault="00B67112" w:rsidP="00B67112">
      <w:pPr>
        <w:jc w:val="both"/>
        <w:rPr>
          <w:rFonts w:cs="Times New Roman"/>
          <w:b/>
          <w:bCs/>
        </w:rPr>
      </w:pPr>
    </w:p>
    <w:p w14:paraId="4616F20F" w14:textId="77777777" w:rsidR="00076CA5" w:rsidRPr="00C40B9D" w:rsidRDefault="00076CA5" w:rsidP="00076CA5">
      <w:pPr>
        <w:rPr>
          <w:rFonts w:cs="Times New Roman"/>
        </w:rPr>
      </w:pPr>
    </w:p>
    <w:p w14:paraId="795103E2" w14:textId="77777777" w:rsidR="00076CA5" w:rsidRPr="00C40B9D" w:rsidRDefault="00076CA5" w:rsidP="00076CA5">
      <w:pPr>
        <w:rPr>
          <w:rFonts w:cs="Times New Roman"/>
        </w:rPr>
      </w:pPr>
    </w:p>
    <w:sectPr w:rsidR="00076CA5" w:rsidRPr="00C40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6A49"/>
    <w:multiLevelType w:val="hybridMultilevel"/>
    <w:tmpl w:val="94EED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0B40"/>
    <w:multiLevelType w:val="hybridMultilevel"/>
    <w:tmpl w:val="D69E0442"/>
    <w:lvl w:ilvl="0" w:tplc="F90E133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40E2"/>
    <w:multiLevelType w:val="hybridMultilevel"/>
    <w:tmpl w:val="1C287B8E"/>
    <w:lvl w:ilvl="0" w:tplc="D9C04316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B760FB"/>
    <w:multiLevelType w:val="hybridMultilevel"/>
    <w:tmpl w:val="2F44AA5C"/>
    <w:lvl w:ilvl="0" w:tplc="897821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A5"/>
    <w:rsid w:val="00076CA5"/>
    <w:rsid w:val="000C1F9C"/>
    <w:rsid w:val="00116E5A"/>
    <w:rsid w:val="002317A3"/>
    <w:rsid w:val="003114A6"/>
    <w:rsid w:val="00973C0D"/>
    <w:rsid w:val="00B33D01"/>
    <w:rsid w:val="00B67112"/>
    <w:rsid w:val="00C12989"/>
    <w:rsid w:val="00C40B9D"/>
    <w:rsid w:val="00C625FB"/>
    <w:rsid w:val="00D418C0"/>
    <w:rsid w:val="00D756FD"/>
    <w:rsid w:val="00D87CE7"/>
    <w:rsid w:val="00E72429"/>
    <w:rsid w:val="00E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9258"/>
  <w15:chartTrackingRefBased/>
  <w15:docId w15:val="{4E7CA20E-0887-4A1F-846C-2838E69A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6C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CA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m-6832439916844848449msolistparagraph">
    <w:name w:val="m_-6832439916844848449msolistparagraph"/>
    <w:basedOn w:val="Normale"/>
    <w:rsid w:val="00D87C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valentini</dc:creator>
  <cp:keywords/>
  <dc:description/>
  <cp:lastModifiedBy>Gaspare</cp:lastModifiedBy>
  <cp:revision>2</cp:revision>
  <dcterms:created xsi:type="dcterms:W3CDTF">2021-11-11T11:32:00Z</dcterms:created>
  <dcterms:modified xsi:type="dcterms:W3CDTF">2021-11-11T11:32:00Z</dcterms:modified>
</cp:coreProperties>
</file>